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FC352">
      <w:pPr>
        <w:pStyle w:val="2"/>
        <w:spacing w:before="335" w:line="223" w:lineRule="auto"/>
        <w:ind w:firstLine="2528" w:firstLineChars="800"/>
        <w:rPr>
          <w:rFonts w:hint="eastAsia"/>
          <w:spacing w:val="-17"/>
          <w:sz w:val="35"/>
          <w:szCs w:val="35"/>
          <w:lang w:val="en-US" w:eastAsia="zh-CN"/>
        </w:rPr>
      </w:pPr>
      <w:r>
        <w:rPr>
          <w:spacing w:val="-17"/>
          <w:sz w:val="35"/>
          <w:szCs w:val="35"/>
        </w:rPr>
        <w:t>检定</w:t>
      </w:r>
      <w:r>
        <w:rPr>
          <w:rFonts w:hint="eastAsia"/>
          <w:spacing w:val="-17"/>
          <w:sz w:val="35"/>
          <w:szCs w:val="35"/>
          <w:lang w:val="en-US" w:eastAsia="zh-CN"/>
        </w:rPr>
        <w:t>技术要求及项目明细</w:t>
      </w:r>
    </w:p>
    <w:p w14:paraId="72516AA7">
      <w:pPr>
        <w:pStyle w:val="2"/>
        <w:spacing w:before="335" w:line="223" w:lineRule="auto"/>
        <w:rPr>
          <w:rFonts w:hint="default"/>
          <w:spacing w:val="-17"/>
          <w:sz w:val="22"/>
          <w:szCs w:val="22"/>
          <w:lang w:val="en-US" w:eastAsia="zh-CN"/>
        </w:rPr>
      </w:pPr>
      <w:r>
        <w:rPr>
          <w:rFonts w:hint="default"/>
          <w:spacing w:val="-17"/>
          <w:sz w:val="22"/>
          <w:szCs w:val="22"/>
          <w:lang w:val="en-US" w:eastAsia="zh-CN"/>
        </w:rPr>
        <w:t>1. 检测依据：执行国家、行业现行相关标准规范。</w:t>
      </w:r>
    </w:p>
    <w:p w14:paraId="0865F4EA">
      <w:pPr>
        <w:pStyle w:val="2"/>
        <w:spacing w:before="335" w:line="223" w:lineRule="auto"/>
        <w:rPr>
          <w:rFonts w:hint="default"/>
          <w:spacing w:val="-17"/>
          <w:sz w:val="22"/>
          <w:szCs w:val="22"/>
          <w:lang w:val="en-US" w:eastAsia="zh-CN"/>
        </w:rPr>
      </w:pPr>
      <w:r>
        <w:rPr>
          <w:rFonts w:hint="default"/>
          <w:spacing w:val="-17"/>
          <w:sz w:val="22"/>
          <w:szCs w:val="22"/>
          <w:lang w:val="en-US" w:eastAsia="zh-CN"/>
        </w:rPr>
        <w:t>2. 检测</w:t>
      </w:r>
      <w:r>
        <w:rPr>
          <w:rFonts w:hint="eastAsia"/>
          <w:spacing w:val="-17"/>
          <w:sz w:val="22"/>
          <w:szCs w:val="22"/>
          <w:lang w:val="en-US" w:eastAsia="zh-CN"/>
        </w:rPr>
        <w:t>公司</w:t>
      </w:r>
      <w:r>
        <w:rPr>
          <w:rFonts w:hint="default"/>
          <w:spacing w:val="-17"/>
          <w:sz w:val="22"/>
          <w:szCs w:val="22"/>
          <w:lang w:val="en-US" w:eastAsia="zh-CN"/>
        </w:rPr>
        <w:t>：检测</w:t>
      </w:r>
      <w:r>
        <w:rPr>
          <w:rFonts w:hint="eastAsia"/>
          <w:spacing w:val="-17"/>
          <w:sz w:val="22"/>
          <w:szCs w:val="22"/>
          <w:lang w:val="en-US" w:eastAsia="zh-CN"/>
        </w:rPr>
        <w:t>公司</w:t>
      </w:r>
      <w:r>
        <w:rPr>
          <w:rFonts w:hint="default"/>
          <w:spacing w:val="-17"/>
          <w:sz w:val="22"/>
          <w:szCs w:val="22"/>
          <w:lang w:val="en-US" w:eastAsia="zh-CN"/>
        </w:rPr>
        <w:t>具备相应</w:t>
      </w:r>
      <w:r>
        <w:rPr>
          <w:rFonts w:hint="eastAsia"/>
          <w:spacing w:val="-17"/>
          <w:sz w:val="22"/>
          <w:szCs w:val="22"/>
          <w:lang w:val="en-US" w:eastAsia="zh-CN"/>
        </w:rPr>
        <w:t>的专业资质</w:t>
      </w:r>
      <w:r>
        <w:rPr>
          <w:rFonts w:hint="default"/>
          <w:spacing w:val="-17"/>
          <w:sz w:val="22"/>
          <w:szCs w:val="22"/>
          <w:lang w:val="en-US" w:eastAsia="zh-CN"/>
        </w:rPr>
        <w:t>，</w:t>
      </w:r>
      <w:r>
        <w:rPr>
          <w:rFonts w:hint="eastAsia"/>
          <w:spacing w:val="-17"/>
          <w:sz w:val="22"/>
          <w:szCs w:val="22"/>
          <w:lang w:val="en-US" w:eastAsia="zh-CN"/>
        </w:rPr>
        <w:t>检测完成后并出具符合</w:t>
      </w:r>
      <w:r>
        <w:rPr>
          <w:rFonts w:hint="default"/>
          <w:spacing w:val="-17"/>
          <w:sz w:val="22"/>
          <w:szCs w:val="22"/>
          <w:lang w:val="en-US" w:eastAsia="zh-CN"/>
        </w:rPr>
        <w:t>国家、行业现行相关标准规范</w:t>
      </w:r>
      <w:r>
        <w:rPr>
          <w:rFonts w:hint="eastAsia"/>
          <w:spacing w:val="-17"/>
          <w:sz w:val="22"/>
          <w:szCs w:val="22"/>
          <w:lang w:val="en-US" w:eastAsia="zh-CN"/>
        </w:rPr>
        <w:t>的检测报告</w:t>
      </w:r>
      <w:r>
        <w:rPr>
          <w:rFonts w:hint="default"/>
          <w:spacing w:val="-17"/>
          <w:sz w:val="22"/>
          <w:szCs w:val="22"/>
          <w:lang w:val="en-US" w:eastAsia="zh-CN"/>
        </w:rPr>
        <w:t>。</w:t>
      </w:r>
    </w:p>
    <w:p w14:paraId="35038D38">
      <w:pPr>
        <w:pStyle w:val="2"/>
        <w:spacing w:before="335" w:line="223" w:lineRule="auto"/>
        <w:rPr>
          <w:rFonts w:hint="default"/>
          <w:spacing w:val="-17"/>
          <w:sz w:val="22"/>
          <w:szCs w:val="22"/>
          <w:lang w:val="en-US" w:eastAsia="zh-CN"/>
        </w:rPr>
      </w:pPr>
      <w:r>
        <w:rPr>
          <w:rFonts w:hint="eastAsia"/>
          <w:spacing w:val="-17"/>
          <w:sz w:val="22"/>
          <w:szCs w:val="22"/>
          <w:lang w:val="en-US" w:eastAsia="zh-CN"/>
        </w:rPr>
        <w:t>3.检测项目如下：</w:t>
      </w:r>
    </w:p>
    <w:tbl>
      <w:tblPr>
        <w:tblStyle w:val="6"/>
        <w:tblW w:w="8549" w:type="dxa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7726"/>
      </w:tblGrid>
      <w:tr w14:paraId="0C51D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23" w:type="dxa"/>
            <w:vAlign w:val="top"/>
          </w:tcPr>
          <w:p w14:paraId="4A691365">
            <w:pPr>
              <w:pStyle w:val="7"/>
              <w:spacing w:before="196" w:line="221" w:lineRule="auto"/>
              <w:ind w:left="154"/>
            </w:pPr>
            <w:r>
              <w:rPr>
                <w:spacing w:val="7"/>
              </w:rPr>
              <w:t>序号</w:t>
            </w:r>
          </w:p>
        </w:tc>
        <w:tc>
          <w:tcPr>
            <w:tcW w:w="7726" w:type="dxa"/>
            <w:vAlign w:val="top"/>
          </w:tcPr>
          <w:p w14:paraId="075E4B17">
            <w:pPr>
              <w:pStyle w:val="7"/>
              <w:spacing w:before="195" w:line="219" w:lineRule="auto"/>
              <w:ind w:left="2641"/>
            </w:pPr>
            <w:r>
              <w:rPr>
                <w:spacing w:val="-10"/>
              </w:rPr>
              <w:t>检</w:t>
            </w:r>
            <w:r>
              <w:rPr>
                <w:spacing w:val="2"/>
              </w:rPr>
              <w:t xml:space="preserve">    </w:t>
            </w:r>
            <w:r>
              <w:rPr>
                <w:spacing w:val="-10"/>
              </w:rPr>
              <w:t>定</w:t>
            </w:r>
            <w:r>
              <w:rPr>
                <w:spacing w:val="1"/>
              </w:rPr>
              <w:t xml:space="preserve">    </w:t>
            </w:r>
            <w:r>
              <w:rPr>
                <w:spacing w:val="-10"/>
              </w:rPr>
              <w:t>项</w:t>
            </w:r>
            <w:r>
              <w:rPr>
                <w:spacing w:val="13"/>
              </w:rPr>
              <w:t xml:space="preserve">    </w:t>
            </w:r>
            <w:r>
              <w:rPr>
                <w:spacing w:val="-10"/>
              </w:rPr>
              <w:t>目</w:t>
            </w:r>
          </w:p>
        </w:tc>
      </w:tr>
      <w:tr w14:paraId="5AD89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3" w:type="dxa"/>
            <w:vAlign w:val="top"/>
          </w:tcPr>
          <w:p w14:paraId="3F55693A">
            <w:pPr>
              <w:pStyle w:val="7"/>
              <w:spacing w:before="226" w:line="241" w:lineRule="auto"/>
              <w:ind w:left="334"/>
            </w:pPr>
            <w:r>
              <w:t>1</w:t>
            </w:r>
          </w:p>
        </w:tc>
        <w:tc>
          <w:tcPr>
            <w:tcW w:w="7726" w:type="dxa"/>
            <w:vAlign w:val="top"/>
          </w:tcPr>
          <w:p w14:paraId="74977939">
            <w:pPr>
              <w:pStyle w:val="7"/>
              <w:spacing w:before="210" w:line="227" w:lineRule="auto"/>
              <w:ind w:left="101"/>
            </w:pPr>
            <w:r>
              <w:rPr>
                <w:spacing w:val="2"/>
              </w:rPr>
              <w:t>外观及一般功能检查</w:t>
            </w:r>
            <w:r>
              <w:rPr>
                <w:spacing w:val="4"/>
              </w:rPr>
              <w:t xml:space="preserve">                  </w:t>
            </w:r>
          </w:p>
        </w:tc>
      </w:tr>
      <w:tr w14:paraId="3854C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3" w:type="dxa"/>
            <w:vAlign w:val="top"/>
          </w:tcPr>
          <w:p w14:paraId="172D0851">
            <w:pPr>
              <w:pStyle w:val="7"/>
              <w:spacing w:before="216" w:line="241" w:lineRule="auto"/>
              <w:ind w:left="334"/>
            </w:pPr>
            <w:r>
              <w:t>2</w:t>
            </w:r>
          </w:p>
        </w:tc>
        <w:tc>
          <w:tcPr>
            <w:tcW w:w="7726" w:type="dxa"/>
            <w:vAlign w:val="top"/>
          </w:tcPr>
          <w:p w14:paraId="4911CA46">
            <w:pPr>
              <w:pStyle w:val="7"/>
              <w:spacing w:before="221" w:line="225" w:lineRule="auto"/>
              <w:ind w:left="111"/>
            </w:pPr>
            <w:r>
              <w:rPr>
                <w:spacing w:val="1"/>
              </w:rPr>
              <w:t>水准器轴与竖轴的垂直度</w:t>
            </w:r>
            <w:r>
              <w:rPr>
                <w:spacing w:val="6"/>
              </w:rPr>
              <w:t xml:space="preserve">             </w:t>
            </w:r>
            <w:bookmarkStart w:id="0" w:name="_GoBack"/>
            <w:bookmarkEnd w:id="0"/>
          </w:p>
        </w:tc>
      </w:tr>
      <w:tr w14:paraId="36FC2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23" w:type="dxa"/>
            <w:vAlign w:val="top"/>
          </w:tcPr>
          <w:p w14:paraId="231EF331">
            <w:pPr>
              <w:pStyle w:val="7"/>
              <w:spacing w:before="216"/>
              <w:ind w:left="334"/>
            </w:pPr>
            <w:r>
              <w:t>3</w:t>
            </w:r>
          </w:p>
        </w:tc>
        <w:tc>
          <w:tcPr>
            <w:tcW w:w="7726" w:type="dxa"/>
            <w:vAlign w:val="top"/>
          </w:tcPr>
          <w:p w14:paraId="10BECD53">
            <w:pPr>
              <w:pStyle w:val="7"/>
              <w:spacing w:before="202" w:line="228" w:lineRule="auto"/>
              <w:ind w:left="91"/>
            </w:pPr>
            <w:r>
              <w:rPr>
                <w:spacing w:val="2"/>
              </w:rPr>
              <w:t>望远镜竖丝铅垂度</w:t>
            </w:r>
            <w:r>
              <w:rPr>
                <w:spacing w:val="4"/>
              </w:rPr>
              <w:t xml:space="preserve">                   </w:t>
            </w:r>
          </w:p>
        </w:tc>
      </w:tr>
      <w:tr w14:paraId="365C4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23" w:type="dxa"/>
            <w:vAlign w:val="top"/>
          </w:tcPr>
          <w:p w14:paraId="66108498">
            <w:pPr>
              <w:pStyle w:val="7"/>
              <w:spacing w:before="218" w:line="241" w:lineRule="auto"/>
              <w:ind w:left="334"/>
            </w:pPr>
            <w:r>
              <w:t>4</w:t>
            </w:r>
          </w:p>
        </w:tc>
        <w:tc>
          <w:tcPr>
            <w:tcW w:w="7726" w:type="dxa"/>
            <w:vAlign w:val="top"/>
          </w:tcPr>
          <w:p w14:paraId="5ED05618">
            <w:pPr>
              <w:pStyle w:val="7"/>
              <w:spacing w:before="224" w:line="352" w:lineRule="exact"/>
              <w:ind w:left="91"/>
            </w:pPr>
            <w:r>
              <w:rPr>
                <w:spacing w:val="10"/>
                <w:position w:val="2"/>
              </w:rPr>
              <w:t xml:space="preserve">视准差c                           </w:t>
            </w:r>
          </w:p>
        </w:tc>
      </w:tr>
      <w:tr w14:paraId="67EA9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9" w:hRule="atLeast"/>
        </w:trPr>
        <w:tc>
          <w:tcPr>
            <w:tcW w:w="823" w:type="dxa"/>
            <w:vAlign w:val="top"/>
          </w:tcPr>
          <w:p w14:paraId="4EBD122C">
            <w:pPr>
              <w:pStyle w:val="7"/>
              <w:spacing w:before="218"/>
              <w:ind w:left="334"/>
            </w:pPr>
            <w:r>
              <w:t>5</w:t>
            </w:r>
          </w:p>
        </w:tc>
        <w:tc>
          <w:tcPr>
            <w:tcW w:w="7726" w:type="dxa"/>
            <w:vAlign w:val="top"/>
          </w:tcPr>
          <w:p w14:paraId="3B8C5E89">
            <w:pPr>
              <w:pStyle w:val="7"/>
              <w:spacing w:before="224" w:line="238" w:lineRule="auto"/>
              <w:ind w:left="101"/>
            </w:pPr>
            <w:r>
              <w:rPr>
                <w:position w:val="1"/>
              </w:rPr>
              <w:t>指标差I</w:t>
            </w:r>
            <w:r>
              <w:rPr>
                <w:spacing w:val="2"/>
                <w:position w:val="1"/>
              </w:rPr>
              <w:t xml:space="preserve">                             </w:t>
            </w:r>
          </w:p>
        </w:tc>
      </w:tr>
      <w:tr w14:paraId="64EE2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23" w:type="dxa"/>
            <w:vAlign w:val="top"/>
          </w:tcPr>
          <w:p w14:paraId="1716010E">
            <w:pPr>
              <w:pStyle w:val="7"/>
              <w:spacing w:before="219"/>
              <w:ind w:left="334"/>
            </w:pPr>
            <w:r>
              <w:t>6</w:t>
            </w:r>
          </w:p>
        </w:tc>
        <w:tc>
          <w:tcPr>
            <w:tcW w:w="7726" w:type="dxa"/>
            <w:vAlign w:val="top"/>
          </w:tcPr>
          <w:p w14:paraId="09DD4474">
            <w:pPr>
              <w:pStyle w:val="7"/>
              <w:spacing w:before="241" w:line="221" w:lineRule="auto"/>
              <w:ind w:left="101"/>
            </w:pPr>
            <w:r>
              <w:rPr>
                <w:spacing w:val="6"/>
              </w:rPr>
              <w:t xml:space="preserve">横轴不垂直于竖轴之差I              </w:t>
            </w:r>
          </w:p>
        </w:tc>
      </w:tr>
      <w:tr w14:paraId="1D07E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3" w:type="dxa"/>
            <w:vAlign w:val="top"/>
          </w:tcPr>
          <w:p w14:paraId="28BFEA31">
            <w:pPr>
              <w:pStyle w:val="7"/>
              <w:spacing w:before="220"/>
              <w:ind w:left="334"/>
            </w:pPr>
            <w:r>
              <w:rPr>
                <w:color w:val="101040"/>
              </w:rPr>
              <w:t>7</w:t>
            </w:r>
          </w:p>
        </w:tc>
        <w:tc>
          <w:tcPr>
            <w:tcW w:w="7726" w:type="dxa"/>
            <w:vAlign w:val="top"/>
          </w:tcPr>
          <w:p w14:paraId="2DFE66E2">
            <w:pPr>
              <w:pStyle w:val="7"/>
              <w:spacing w:before="237" w:line="223" w:lineRule="auto"/>
              <w:ind w:left="101"/>
            </w:pPr>
            <w:r>
              <w:rPr>
                <w:spacing w:val="2"/>
              </w:rPr>
              <w:t xml:space="preserve">补偿器补偿范围                  </w:t>
            </w:r>
            <w:r>
              <w:rPr>
                <w:spacing w:val="1"/>
              </w:rPr>
              <w:t xml:space="preserve">    </w:t>
            </w:r>
          </w:p>
        </w:tc>
      </w:tr>
      <w:tr w14:paraId="20CDF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23" w:type="dxa"/>
            <w:vAlign w:val="top"/>
          </w:tcPr>
          <w:p w14:paraId="75732100">
            <w:pPr>
              <w:pStyle w:val="7"/>
              <w:spacing w:before="271"/>
              <w:ind w:left="334"/>
            </w:pPr>
            <w:r>
              <w:t>8</w:t>
            </w:r>
          </w:p>
        </w:tc>
        <w:tc>
          <w:tcPr>
            <w:tcW w:w="7726" w:type="dxa"/>
            <w:vAlign w:val="top"/>
          </w:tcPr>
          <w:p w14:paraId="2A73CE2F">
            <w:pPr>
              <w:pStyle w:val="7"/>
              <w:spacing w:before="243" w:line="221" w:lineRule="auto"/>
              <w:ind w:left="111"/>
            </w:pPr>
            <w:r>
              <w:rPr>
                <w:spacing w:val="15"/>
              </w:rPr>
              <w:t>纵向补偿精度</w:t>
            </w:r>
            <w:r>
              <w:rPr>
                <w:spacing w:val="1"/>
              </w:rPr>
              <w:t xml:space="preserve">                       </w:t>
            </w:r>
          </w:p>
        </w:tc>
      </w:tr>
      <w:tr w14:paraId="2A5C1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3" w:type="dxa"/>
            <w:vAlign w:val="top"/>
          </w:tcPr>
          <w:p w14:paraId="2E6DE78D">
            <w:pPr>
              <w:pStyle w:val="7"/>
              <w:spacing w:before="271"/>
              <w:ind w:left="334"/>
            </w:pPr>
            <w:r>
              <w:t>9</w:t>
            </w:r>
          </w:p>
        </w:tc>
        <w:tc>
          <w:tcPr>
            <w:tcW w:w="7726" w:type="dxa"/>
            <w:vAlign w:val="top"/>
          </w:tcPr>
          <w:p w14:paraId="1539D693">
            <w:pPr>
              <w:pStyle w:val="7"/>
              <w:spacing w:before="241" w:line="222" w:lineRule="auto"/>
              <w:ind w:left="111"/>
            </w:pPr>
            <w:r>
              <w:rPr>
                <w:spacing w:val="15"/>
              </w:rPr>
              <w:t>横向补偿精度</w:t>
            </w:r>
            <w:r>
              <w:rPr>
                <w:spacing w:val="1"/>
              </w:rPr>
              <w:t xml:space="preserve">                       </w:t>
            </w:r>
          </w:p>
        </w:tc>
      </w:tr>
      <w:tr w14:paraId="747F9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23" w:type="dxa"/>
            <w:vAlign w:val="top"/>
          </w:tcPr>
          <w:p w14:paraId="071B23A6">
            <w:pPr>
              <w:pStyle w:val="7"/>
              <w:spacing w:before="262"/>
              <w:ind w:left="275"/>
            </w:pPr>
            <w:r>
              <w:rPr>
                <w:spacing w:val="-8"/>
              </w:rPr>
              <w:t>10</w:t>
            </w:r>
          </w:p>
        </w:tc>
        <w:tc>
          <w:tcPr>
            <w:tcW w:w="7726" w:type="dxa"/>
            <w:vAlign w:val="top"/>
          </w:tcPr>
          <w:p w14:paraId="077CDAC1">
            <w:pPr>
              <w:pStyle w:val="7"/>
              <w:spacing w:before="198" w:line="225" w:lineRule="auto"/>
              <w:ind w:left="111"/>
            </w:pPr>
            <w:r>
              <w:rPr>
                <w:spacing w:val="1"/>
              </w:rPr>
              <w:t>测距轴与视准轴的重合性</w:t>
            </w:r>
            <w:r>
              <w:rPr>
                <w:spacing w:val="4"/>
              </w:rPr>
              <w:t xml:space="preserve">              </w:t>
            </w:r>
          </w:p>
        </w:tc>
      </w:tr>
      <w:tr w14:paraId="2F348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3" w:type="dxa"/>
            <w:vAlign w:val="top"/>
          </w:tcPr>
          <w:p w14:paraId="42E986B1">
            <w:pPr>
              <w:pStyle w:val="7"/>
              <w:spacing w:before="283"/>
              <w:ind w:left="275"/>
            </w:pPr>
            <w:r>
              <w:rPr>
                <w:spacing w:val="-8"/>
              </w:rPr>
              <w:t>11</w:t>
            </w:r>
          </w:p>
        </w:tc>
        <w:tc>
          <w:tcPr>
            <w:tcW w:w="7726" w:type="dxa"/>
            <w:vAlign w:val="top"/>
          </w:tcPr>
          <w:p w14:paraId="680A258F">
            <w:pPr>
              <w:pStyle w:val="7"/>
              <w:spacing w:before="258" w:line="235" w:lineRule="auto"/>
              <w:ind w:left="111"/>
            </w:pPr>
            <w:r>
              <w:rPr>
                <w:spacing w:val="-1"/>
              </w:rPr>
              <w:t>激光/光学)对中器视轴与竖轴重合度</w:t>
            </w:r>
            <w:r>
              <w:rPr>
                <w:spacing w:val="16"/>
              </w:rPr>
              <w:t xml:space="preserve">    </w:t>
            </w:r>
          </w:p>
        </w:tc>
      </w:tr>
      <w:tr w14:paraId="50B71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vAlign w:val="top"/>
          </w:tcPr>
          <w:p w14:paraId="34FFA056">
            <w:pPr>
              <w:pStyle w:val="7"/>
              <w:spacing w:before="215" w:line="241" w:lineRule="auto"/>
              <w:ind w:left="275"/>
            </w:pPr>
            <w:r>
              <w:rPr>
                <w:spacing w:val="-8"/>
              </w:rPr>
              <w:t>12</w:t>
            </w:r>
          </w:p>
        </w:tc>
        <w:tc>
          <w:tcPr>
            <w:tcW w:w="7726" w:type="dxa"/>
            <w:vAlign w:val="top"/>
          </w:tcPr>
          <w:p w14:paraId="23B814BC">
            <w:pPr>
              <w:pStyle w:val="7"/>
              <w:spacing w:before="230" w:line="223" w:lineRule="auto"/>
              <w:ind w:left="91"/>
            </w:pPr>
            <w:r>
              <w:rPr>
                <w:spacing w:val="6"/>
              </w:rPr>
              <w:t xml:space="preserve">一测回水平方向标准偏差            </w:t>
            </w:r>
          </w:p>
        </w:tc>
      </w:tr>
      <w:tr w14:paraId="1044F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4C5D314D">
            <w:pPr>
              <w:pStyle w:val="7"/>
              <w:spacing w:before="214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-8"/>
              </w:rPr>
              <w:t>13</w:t>
            </w:r>
          </w:p>
        </w:tc>
        <w:tc>
          <w:tcPr>
            <w:tcW w:w="7726" w:type="dxa"/>
            <w:shd w:val="clear"/>
            <w:vAlign w:val="top"/>
          </w:tcPr>
          <w:p w14:paraId="1056C5A3">
            <w:pPr>
              <w:pStyle w:val="7"/>
              <w:spacing w:before="239" w:line="223" w:lineRule="auto"/>
              <w:ind w:left="11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6"/>
              </w:rPr>
              <w:t>一测回竖直角测角标准偏差</w:t>
            </w:r>
            <w:r>
              <w:rPr>
                <w:spacing w:val="11"/>
              </w:rPr>
              <w:t xml:space="preserve">           </w:t>
            </w:r>
          </w:p>
        </w:tc>
      </w:tr>
      <w:tr w14:paraId="11861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03FFA3DB">
            <w:pPr>
              <w:pStyle w:val="7"/>
              <w:spacing w:before="276" w:line="241" w:lineRule="auto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-8"/>
              </w:rPr>
              <w:t>14</w:t>
            </w:r>
          </w:p>
        </w:tc>
        <w:tc>
          <w:tcPr>
            <w:tcW w:w="7726" w:type="dxa"/>
            <w:shd w:val="clear"/>
            <w:vAlign w:val="top"/>
          </w:tcPr>
          <w:p w14:paraId="28B2ED5D">
            <w:pPr>
              <w:pStyle w:val="7"/>
              <w:spacing w:before="221" w:line="378" w:lineRule="exact"/>
              <w:ind w:left="10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position w:val="3"/>
              </w:rPr>
              <w:t xml:space="preserve">加常数                              </w:t>
            </w:r>
          </w:p>
        </w:tc>
      </w:tr>
      <w:tr w14:paraId="5CA03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4B646F11">
            <w:pPr>
              <w:pStyle w:val="7"/>
              <w:spacing w:before="277" w:line="238" w:lineRule="auto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-8"/>
              </w:rPr>
              <w:t>15</w:t>
            </w:r>
          </w:p>
        </w:tc>
        <w:tc>
          <w:tcPr>
            <w:tcW w:w="7726" w:type="dxa"/>
            <w:shd w:val="clear"/>
            <w:vAlign w:val="top"/>
          </w:tcPr>
          <w:p w14:paraId="560F76EA">
            <w:pPr>
              <w:pStyle w:val="7"/>
              <w:spacing w:before="231" w:line="360" w:lineRule="exact"/>
              <w:ind w:left="10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position w:val="2"/>
              </w:rPr>
              <w:t xml:space="preserve">加常数精度                          </w:t>
            </w:r>
          </w:p>
        </w:tc>
      </w:tr>
      <w:tr w14:paraId="56CD2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46138BE7">
            <w:pPr>
              <w:pStyle w:val="7"/>
              <w:spacing w:before="216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-8"/>
              </w:rPr>
              <w:t>16</w:t>
            </w:r>
          </w:p>
        </w:tc>
        <w:tc>
          <w:tcPr>
            <w:tcW w:w="7726" w:type="dxa"/>
            <w:shd w:val="clear"/>
            <w:vAlign w:val="top"/>
          </w:tcPr>
          <w:p w14:paraId="7668F6A9">
            <w:pPr>
              <w:pStyle w:val="7"/>
              <w:spacing w:before="231" w:line="230" w:lineRule="auto"/>
              <w:ind w:left="10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-7"/>
                <w:position w:val="1"/>
              </w:rPr>
              <w:t>乘常数</w:t>
            </w:r>
            <w:r>
              <w:rPr>
                <w:position w:val="1"/>
              </w:rPr>
              <w:t xml:space="preserve">                              </w:t>
            </w:r>
          </w:p>
        </w:tc>
      </w:tr>
      <w:tr w14:paraId="3377F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181C4453">
            <w:pPr>
              <w:pStyle w:val="7"/>
              <w:spacing w:before="267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color w:val="101060"/>
                <w:spacing w:val="-11"/>
              </w:rPr>
              <w:t>1</w:t>
            </w:r>
            <w:r>
              <w:rPr>
                <w:color w:val="201070"/>
                <w:spacing w:val="-11"/>
              </w:rPr>
              <w:t>7</w:t>
            </w:r>
          </w:p>
        </w:tc>
        <w:tc>
          <w:tcPr>
            <w:tcW w:w="7726" w:type="dxa"/>
            <w:shd w:val="clear"/>
            <w:vAlign w:val="top"/>
          </w:tcPr>
          <w:p w14:paraId="11CAA5DC">
            <w:pPr>
              <w:pStyle w:val="7"/>
              <w:spacing w:before="240" w:line="220" w:lineRule="auto"/>
              <w:ind w:left="10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1"/>
              </w:rPr>
              <w:t>乘常数精度</w:t>
            </w:r>
            <w:r>
              <w:t xml:space="preserve">                        </w:t>
            </w:r>
          </w:p>
        </w:tc>
      </w:tr>
      <w:tr w14:paraId="0E5F5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shd w:val="clear"/>
            <w:vAlign w:val="top"/>
          </w:tcPr>
          <w:p w14:paraId="0BC589AF">
            <w:pPr>
              <w:pStyle w:val="7"/>
              <w:spacing w:before="288"/>
              <w:ind w:left="30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color w:val="000020"/>
                <w:spacing w:val="-8"/>
              </w:rPr>
              <w:t>18</w:t>
            </w:r>
          </w:p>
        </w:tc>
        <w:tc>
          <w:tcPr>
            <w:tcW w:w="7726" w:type="dxa"/>
            <w:shd w:val="clear"/>
            <w:vAlign w:val="top"/>
          </w:tcPr>
          <w:p w14:paraId="7429D6A0">
            <w:pPr>
              <w:pStyle w:val="7"/>
              <w:spacing w:before="243" w:line="361" w:lineRule="exact"/>
              <w:ind w:left="8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spacing w:val="1"/>
                <w:position w:val="2"/>
              </w:rPr>
              <w:t xml:space="preserve">综合精度                           </w:t>
            </w:r>
          </w:p>
        </w:tc>
      </w:tr>
      <w:tr w14:paraId="21528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23" w:type="dxa"/>
            <w:vAlign w:val="top"/>
          </w:tcPr>
          <w:p w14:paraId="218DD43D">
            <w:pPr>
              <w:pStyle w:val="7"/>
              <w:spacing w:before="215" w:line="241" w:lineRule="auto"/>
              <w:ind w:left="275"/>
              <w:rPr>
                <w:spacing w:val="-8"/>
              </w:rPr>
            </w:pPr>
          </w:p>
        </w:tc>
        <w:tc>
          <w:tcPr>
            <w:tcW w:w="7726" w:type="dxa"/>
            <w:vAlign w:val="top"/>
          </w:tcPr>
          <w:p w14:paraId="381E0734">
            <w:pPr>
              <w:pStyle w:val="7"/>
              <w:spacing w:before="230" w:line="223" w:lineRule="auto"/>
              <w:ind w:left="91"/>
              <w:rPr>
                <w:spacing w:val="6"/>
              </w:rPr>
            </w:pPr>
          </w:p>
        </w:tc>
      </w:tr>
    </w:tbl>
    <w:p w14:paraId="6ED3CBE2">
      <w:pPr>
        <w:spacing w:line="192" w:lineRule="auto"/>
        <w:rPr>
          <w:rFonts w:ascii="Times New Roman" w:hAnsi="Times New Roman" w:eastAsia="Times New Roman" w:cs="Times New Roman"/>
          <w:sz w:val="19"/>
          <w:szCs w:val="19"/>
        </w:rPr>
        <w:sectPr>
          <w:footerReference r:id="rId5" w:type="default"/>
          <w:pgSz w:w="11900" w:h="18120"/>
          <w:pgMar w:top="984" w:right="9" w:bottom="1200" w:left="1430" w:header="0" w:footer="100" w:gutter="0"/>
          <w:cols w:space="720" w:num="1"/>
        </w:sectPr>
      </w:pPr>
    </w:p>
    <w:p w14:paraId="2ACD5C56">
      <w:pPr>
        <w:spacing w:line="21" w:lineRule="exact"/>
      </w:pPr>
    </w:p>
    <w:p w14:paraId="525B94CA">
      <w:pPr>
        <w:spacing w:line="346" w:lineRule="auto"/>
        <w:rPr>
          <w:rFonts w:ascii="Arial"/>
          <w:sz w:val="21"/>
        </w:rPr>
      </w:pPr>
    </w:p>
    <w:p w14:paraId="34CCB991">
      <w:pPr>
        <w:spacing w:line="247" w:lineRule="auto"/>
        <w:rPr>
          <w:rFonts w:ascii="Arial"/>
          <w:sz w:val="21"/>
        </w:rPr>
      </w:pPr>
    </w:p>
    <w:p w14:paraId="50D6EAB6">
      <w:pPr>
        <w:spacing w:line="247" w:lineRule="auto"/>
        <w:rPr>
          <w:rFonts w:ascii="Arial"/>
          <w:sz w:val="21"/>
        </w:rPr>
      </w:pPr>
    </w:p>
    <w:p w14:paraId="38D788DE">
      <w:pPr>
        <w:spacing w:line="248" w:lineRule="auto"/>
        <w:rPr>
          <w:rFonts w:ascii="Arial"/>
          <w:sz w:val="21"/>
        </w:rPr>
      </w:pPr>
    </w:p>
    <w:p w14:paraId="63342DBA">
      <w:pPr>
        <w:spacing w:line="248" w:lineRule="auto"/>
        <w:rPr>
          <w:rFonts w:ascii="Arial"/>
          <w:sz w:val="21"/>
        </w:rPr>
      </w:pPr>
    </w:p>
    <w:p w14:paraId="4110F389">
      <w:pPr>
        <w:spacing w:line="248" w:lineRule="auto"/>
        <w:rPr>
          <w:rFonts w:ascii="Arial"/>
          <w:sz w:val="21"/>
        </w:rPr>
      </w:pPr>
    </w:p>
    <w:p w14:paraId="52C0B90F">
      <w:pPr>
        <w:spacing w:line="254" w:lineRule="auto"/>
        <w:rPr>
          <w:rFonts w:ascii="Arial"/>
          <w:sz w:val="21"/>
        </w:rPr>
      </w:pPr>
    </w:p>
    <w:p w14:paraId="2C46A238">
      <w:pPr>
        <w:spacing w:line="254" w:lineRule="auto"/>
        <w:rPr>
          <w:rFonts w:ascii="Arial"/>
          <w:sz w:val="21"/>
        </w:rPr>
      </w:pPr>
    </w:p>
    <w:p w14:paraId="0F1D59D5">
      <w:pPr>
        <w:spacing w:line="255" w:lineRule="auto"/>
        <w:rPr>
          <w:rFonts w:ascii="Arial"/>
          <w:sz w:val="21"/>
        </w:rPr>
      </w:pPr>
    </w:p>
    <w:p w14:paraId="14793630">
      <w:pPr>
        <w:spacing w:before="59" w:line="221" w:lineRule="auto"/>
        <w:ind w:left="8719" w:right="749" w:hanging="670"/>
        <w:rPr>
          <w:rFonts w:ascii="Times New Roman" w:hAnsi="Times New Roman" w:eastAsia="Times New Roman" w:cs="Times New Roman"/>
          <w:sz w:val="21"/>
          <w:szCs w:val="21"/>
        </w:rPr>
      </w:pPr>
    </w:p>
    <w:sectPr>
      <w:footerReference r:id="rId6" w:type="default"/>
      <w:pgSz w:w="11900" w:h="18140"/>
      <w:pgMar w:top="1006" w:right="450" w:bottom="1189" w:left="1279" w:header="0" w:footer="1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F7F62">
    <w:pPr>
      <w:pStyle w:val="2"/>
      <w:spacing w:after="164" w:line="212" w:lineRule="auto"/>
      <w:ind w:left="6372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AD033">
    <w:pPr>
      <w:pStyle w:val="2"/>
      <w:spacing w:before="100" w:after="26" w:line="263" w:lineRule="auto"/>
      <w:ind w:left="6522" w:right="1565" w:hanging="12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DA659A"/>
    <w:rsid w:val="117763E1"/>
    <w:rsid w:val="1F1F369F"/>
    <w:rsid w:val="24F3470A"/>
    <w:rsid w:val="2CC0745A"/>
    <w:rsid w:val="38C65B34"/>
    <w:rsid w:val="391C6A9E"/>
    <w:rsid w:val="3C7A5BC5"/>
    <w:rsid w:val="4E72553C"/>
    <w:rsid w:val="535D6353"/>
    <w:rsid w:val="5D6800CD"/>
    <w:rsid w:val="625414DF"/>
    <w:rsid w:val="643A0AC5"/>
    <w:rsid w:val="69821BA7"/>
    <w:rsid w:val="6E8E7175"/>
    <w:rsid w:val="74A569A1"/>
    <w:rsid w:val="74F3598D"/>
    <w:rsid w:val="788B1B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5"/>
      <w:szCs w:val="25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265</Words>
  <Characters>551</Characters>
  <TotalTime>1</TotalTime>
  <ScaleCrop>false</ScaleCrop>
  <LinksUpToDate>false</LinksUpToDate>
  <CharactersWithSpaces>796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2026-11-05T11:01:00Z</dcterms:created>
  <dc:creator>Administrator</dc:creator>
  <cp:lastModifiedBy>王小胖！</cp:lastModifiedBy>
  <dcterms:modified xsi:type="dcterms:W3CDTF">2026-11-05T03:16:10Z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2026-11-05T11:01:14Z</vt:filetime>
  </property>
  <property fmtid="{D5CDD505-2E9C-101B-9397-08002B2CF9AE}" pid="4" name="UsrData">
    <vt:lpwstr>6aebf17442a0c100205d75b6wl</vt:lpwstr>
  </property>
  <property fmtid="{D5CDD505-2E9C-101B-9397-08002B2CF9AE}" pid="5" name="KSOTemplateDocerSaveRecord">
    <vt:lpwstr>eyJoZGlkIjoiN2UyZDdmMWFlOTVkY2YzZjg0NmI2NjUxMzA3ODE0ZDEiLCJ1c2VySWQiOiI5OTM0ODU1OTkifQ==</vt:lpwstr>
  </property>
  <property fmtid="{D5CDD505-2E9C-101B-9397-08002B2CF9AE}" pid="6" name="KSOProductBuildVer">
    <vt:lpwstr>2052-12.1.0.29161</vt:lpwstr>
  </property>
  <property fmtid="{D5CDD505-2E9C-101B-9397-08002B2CF9AE}" pid="7" name="ICV">
    <vt:lpwstr>703EB8FD907148F691E14350246D93B0_13</vt:lpwstr>
  </property>
</Properties>
</file>